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sz w:val="38"/>
          <w:szCs w:val="38"/>
        </w:rPr>
      </w:pPr>
      <w:r w:rsidDel="00000000" w:rsidR="00000000" w:rsidRPr="00000000">
        <w:rPr>
          <w:rtl w:val="0"/>
        </w:rPr>
      </w:r>
    </w:p>
    <w:p w:rsidR="00000000" w:rsidDel="00000000" w:rsidP="00000000" w:rsidRDefault="00000000" w:rsidRPr="00000000" w14:paraId="00000003">
      <w:pPr>
        <w:spacing w:line="276" w:lineRule="auto"/>
        <w:jc w:val="center"/>
        <w:rPr>
          <w:b w:val="1"/>
          <w:sz w:val="30"/>
          <w:szCs w:val="30"/>
        </w:rPr>
      </w:pPr>
      <w:r w:rsidDel="00000000" w:rsidR="00000000" w:rsidRPr="00000000">
        <w:rPr>
          <w:rFonts w:ascii="Arial" w:cs="Arial" w:eastAsia="Arial" w:hAnsi="Arial"/>
          <w:b w:val="1"/>
          <w:sz w:val="38"/>
          <w:szCs w:val="38"/>
          <w:rtl w:val="0"/>
        </w:rPr>
        <w:t xml:space="preserve">José Carlos Francisco califica a la Cooperativa Agrícola de San Miguel de Abona como un ejemplo de economía social </w:t>
      </w:r>
      <w:r w:rsidDel="00000000" w:rsidR="00000000" w:rsidRPr="00000000">
        <w:rPr>
          <w:rtl w:val="0"/>
        </w:rPr>
      </w:r>
    </w:p>
    <w:p w:rsidR="00000000" w:rsidDel="00000000" w:rsidP="00000000" w:rsidRDefault="00000000" w:rsidRPr="00000000" w14:paraId="00000004">
      <w:pPr>
        <w:ind w:left="720" w:firstLine="0"/>
        <w:rPr>
          <w:b w:val="1"/>
          <w:sz w:val="30"/>
          <w:szCs w:val="30"/>
        </w:rPr>
      </w:pPr>
      <w:r w:rsidDel="00000000" w:rsidR="00000000" w:rsidRPr="00000000">
        <w:rPr>
          <w:rtl w:val="0"/>
        </w:rPr>
      </w:r>
    </w:p>
    <w:p w:rsidR="00000000" w:rsidDel="00000000" w:rsidP="00000000" w:rsidRDefault="00000000" w:rsidRPr="00000000" w14:paraId="00000005">
      <w:pPr>
        <w:numPr>
          <w:ilvl w:val="0"/>
          <w:numId w:val="1"/>
        </w:numPr>
        <w:ind w:left="720" w:hanging="360"/>
        <w:rPr>
          <w:b w:val="1"/>
          <w:i w:val="1"/>
        </w:rPr>
      </w:pPr>
      <w:r w:rsidDel="00000000" w:rsidR="00000000" w:rsidRPr="00000000">
        <w:rPr>
          <w:b w:val="1"/>
          <w:sz w:val="30"/>
          <w:szCs w:val="30"/>
          <w:rtl w:val="0"/>
        </w:rPr>
        <w:t xml:space="preserve">Los miembros del pleno del CES visitan las instalaciones con motivo del 65º aniversario </w:t>
      </w:r>
      <w:r w:rsidDel="00000000" w:rsidR="00000000" w:rsidRPr="00000000">
        <w:rPr>
          <w:rtl w:val="0"/>
        </w:rPr>
      </w:r>
    </w:p>
    <w:p w:rsidR="00000000" w:rsidDel="00000000" w:rsidP="00000000" w:rsidRDefault="00000000" w:rsidRPr="00000000" w14:paraId="00000006">
      <w:pPr>
        <w:ind w:left="720" w:firstLine="0"/>
        <w:rPr>
          <w:b w:val="1"/>
          <w:sz w:val="30"/>
          <w:szCs w:val="30"/>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Noto Sans Symbols" w:cs="Noto Sans Symbols" w:eastAsia="Noto Sans Symbols" w:hAnsi="Noto Sans Symbols"/>
          <w:b w:val="1"/>
          <w:sz w:val="30"/>
          <w:szCs w:val="30"/>
        </w:rPr>
      </w:pPr>
      <w:r w:rsidDel="00000000" w:rsidR="00000000" w:rsidRPr="00000000">
        <w:rPr>
          <w:b w:val="1"/>
          <w:sz w:val="30"/>
          <w:szCs w:val="30"/>
          <w:rtl w:val="0"/>
        </w:rPr>
        <w:t xml:space="preserve">La presidenta de la Asociación de Agricultores y Ganaderos de Canarias (Asaga), Ángela Delgado, remarcó que se trata de un trabajo conjunto de los agricultores que contribuye a la preservación del territorio</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spacing w:after="240" w:before="240" w:line="276" w:lineRule="auto"/>
        <w:rPr>
          <w:sz w:val="26"/>
          <w:szCs w:val="26"/>
        </w:rPr>
      </w:pPr>
      <w:r w:rsidDel="00000000" w:rsidR="00000000" w:rsidRPr="00000000">
        <w:rPr>
          <w:sz w:val="26"/>
          <w:szCs w:val="26"/>
          <w:rtl w:val="0"/>
        </w:rPr>
        <w:t xml:space="preserve">Los miembros del pleno del Consejo Económico y Social (CES) de Canarias han realizado una visita a las instalaciones de La Cooperativa Agrícola de San Miguel, una de las entidades más representativas del sector agrícola de Tenerife. Esta acción forma parte de una serie de encuentros que está llevando a cabo el organismo con diferentes sectores productivos de las islas, con el fin de conocer de primera mano sus realidades y promover un mayor entendimiento de las dinámicas económicas de los sectores. </w:t>
      </w:r>
    </w:p>
    <w:p w:rsidR="00000000" w:rsidDel="00000000" w:rsidP="00000000" w:rsidRDefault="00000000" w:rsidRPr="00000000" w14:paraId="0000000A">
      <w:pPr>
        <w:spacing w:after="240" w:before="240" w:line="276" w:lineRule="auto"/>
        <w:rPr>
          <w:sz w:val="26"/>
          <w:szCs w:val="26"/>
        </w:rPr>
      </w:pPr>
      <w:r w:rsidDel="00000000" w:rsidR="00000000" w:rsidRPr="00000000">
        <w:rPr>
          <w:sz w:val="26"/>
          <w:szCs w:val="26"/>
          <w:rtl w:val="0"/>
        </w:rPr>
        <w:t xml:space="preserve">Durante su visita, el presidente del CES, Jose Carlos Francisco, destacó que la cooperativa es un ejemplo de economía social bien gestionada y de gran éxito, que ha podido conseguir grandes logros durante sus 65 años. </w:t>
      </w:r>
    </w:p>
    <w:p w:rsidR="00000000" w:rsidDel="00000000" w:rsidP="00000000" w:rsidRDefault="00000000" w:rsidRPr="00000000" w14:paraId="0000000B">
      <w:pPr>
        <w:spacing w:after="240" w:before="240" w:line="276" w:lineRule="auto"/>
        <w:rPr>
          <w:sz w:val="26"/>
          <w:szCs w:val="26"/>
        </w:rPr>
      </w:pPr>
      <w:r w:rsidDel="00000000" w:rsidR="00000000" w:rsidRPr="00000000">
        <w:rPr>
          <w:sz w:val="26"/>
          <w:szCs w:val="26"/>
          <w:rtl w:val="0"/>
        </w:rPr>
        <w:t xml:space="preserve">Para esta ocasión, la visita ha contado con la participación de la presidenta de la Asociación de Agricultores y Ganaderos de Canarias (Asaga), Ángela Delgado, quien fue la encargada de realizar una extensa visita a los consejeros y consejeras del CES por las instalaciones de la cooperativa,  ofreciendo, a su vez, una explicación detallada sobre los procedimientos que se llevan a cabo durante la producción y el tratamiento de los distintos productos que se gestionan. </w:t>
      </w:r>
    </w:p>
    <w:p w:rsidR="00000000" w:rsidDel="00000000" w:rsidP="00000000" w:rsidRDefault="00000000" w:rsidRPr="00000000" w14:paraId="0000000C">
      <w:pPr>
        <w:spacing w:after="240" w:before="240" w:line="276" w:lineRule="auto"/>
        <w:rPr>
          <w:sz w:val="26"/>
          <w:szCs w:val="26"/>
        </w:rPr>
      </w:pPr>
      <w:r w:rsidDel="00000000" w:rsidR="00000000" w:rsidRPr="00000000">
        <w:rPr>
          <w:sz w:val="26"/>
          <w:szCs w:val="26"/>
          <w:rtl w:val="0"/>
        </w:rPr>
        <w:t xml:space="preserve">Por su parte, la presidenta de Asaga resaltó la importancia de las iniciativas que se realizan dentro de la Cooperativa Agrícola de San Miguel para el fortalecimiento de la economía y la agricultura local, haciendo hincapié que se trata de un claro ejemplo de trabajo conjunto de los agricultores que contribuye a la preservación del territorio y al bienestar de nuestras comunidades. </w:t>
      </w:r>
    </w:p>
    <w:p w:rsidR="00000000" w:rsidDel="00000000" w:rsidP="00000000" w:rsidRDefault="00000000" w:rsidRPr="00000000" w14:paraId="0000000D">
      <w:pPr>
        <w:spacing w:after="240" w:before="240" w:line="276" w:lineRule="auto"/>
        <w:rPr>
          <w:sz w:val="26"/>
          <w:szCs w:val="26"/>
        </w:rPr>
      </w:pPr>
      <w:r w:rsidDel="00000000" w:rsidR="00000000" w:rsidRPr="00000000">
        <w:rPr>
          <w:rtl w:val="0"/>
        </w:rPr>
      </w:r>
    </w:p>
    <w:p w:rsidR="00000000" w:rsidDel="00000000" w:rsidP="00000000" w:rsidRDefault="00000000" w:rsidRPr="00000000" w14:paraId="0000000E">
      <w:pPr>
        <w:spacing w:after="240" w:before="240" w:line="276" w:lineRule="auto"/>
        <w:rPr>
          <w:sz w:val="26"/>
          <w:szCs w:val="26"/>
        </w:rPr>
      </w:pPr>
      <w:r w:rsidDel="00000000" w:rsidR="00000000" w:rsidRPr="00000000">
        <w:rPr>
          <w:rtl w:val="0"/>
        </w:rPr>
      </w:r>
    </w:p>
    <w:p w:rsidR="00000000" w:rsidDel="00000000" w:rsidP="00000000" w:rsidRDefault="00000000" w:rsidRPr="00000000" w14:paraId="0000000F">
      <w:pPr>
        <w:spacing w:after="240" w:before="240" w:line="276" w:lineRule="auto"/>
        <w:rPr>
          <w:sz w:val="26"/>
          <w:szCs w:val="26"/>
        </w:rPr>
      </w:pPr>
      <w:r w:rsidDel="00000000" w:rsidR="00000000" w:rsidRPr="00000000">
        <w:rPr>
          <w:sz w:val="26"/>
          <w:szCs w:val="26"/>
          <w:rtl w:val="0"/>
        </w:rPr>
        <w:t xml:space="preserve">La visita a la Cooperativa Agrícola de San Miguel no fue tan solo una oportunidad para conocer el trabajo desempeñado a nivel de productividad, sino también para poder visualizar los retos a los que se enfrenta el sector agrícola canario en el contexto de la sostenibilidad y la adaptación a nuevas demandas del mercado.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Consejo Económico y Social de Canarias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El Consejo Económico y Social de Canarias es un órgano colegiado que tiene por finalidad la de hacer efectiva la participación de los agentes sociales en las políticas públicas del Gobierno de Canarias. Está constituido por organizaciones de consumidores, expertos designados por el Gobierno, organizaciones sindicales, organizaciones empresariales y Cámaras de Comercio.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Entre las funciones del CES se encuentran las de realizar informes y dictámenes preceptivos en materia económica, social y laboral.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992" w:top="2268" w:left="1134"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8931"/>
      </w:tabs>
      <w:spacing w:after="0" w:before="0" w:line="240" w:lineRule="auto"/>
      <w:ind w:left="0" w:right="36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8931"/>
      </w:tabs>
      <w:spacing w:after="0" w:before="0" w:line="240" w:lineRule="auto"/>
      <w:ind w:left="0" w:right="36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center" w:leader="none" w:pos="6066"/>
        <w:tab w:val="right" w:leader="none" w:pos="9072"/>
        <w:tab w:val="right" w:leader="none" w:pos="9638"/>
        <w:tab w:val="right" w:leader="none" w:pos="10885"/>
      </w:tabs>
      <w:spacing w:after="0" w:before="0" w:line="240" w:lineRule="auto"/>
      <w:ind w:left="-1247" w:right="0" w:firstLine="0"/>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Pr>
      <w:drawing>
        <wp:inline distB="0" distT="0" distL="0" distR="0">
          <wp:extent cx="2138680" cy="607695"/>
          <wp:effectExtent b="0" l="0" r="0" t="0"/>
          <wp:docPr id="1" name="image2.jpg"/>
          <a:graphic>
            <a:graphicData uri="http://schemas.openxmlformats.org/drawingml/2006/picture">
              <pic:pic>
                <pic:nvPicPr>
                  <pic:cNvPr id="0" name="image2.jpg"/>
                  <pic:cNvPicPr preferRelativeResize="0"/>
                </pic:nvPicPr>
                <pic:blipFill>
                  <a:blip r:embed="rId1"/>
                  <a:srcRect b="-2520" l="-717" r="-715" t="-2520"/>
                  <a:stretch>
                    <a:fillRect/>
                  </a:stretch>
                </pic:blipFill>
                <pic:spPr>
                  <a:xfrm>
                    <a:off x="0" y="0"/>
                    <a:ext cx="2138680" cy="607695"/>
                  </a:xfrm>
                  <a:prstGeom prst="rect"/>
                  <a:ln/>
                </pic:spPr>
              </pic:pic>
            </a:graphicData>
          </a:graphic>
        </wp:inline>
      </w:drawing>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r>
    <w:r w:rsidDel="00000000" w:rsidR="00000000" w:rsidRPr="00000000">
      <w:rPr/>
      <w:drawing>
        <wp:inline distB="0" distT="0" distL="0" distR="0">
          <wp:extent cx="927735" cy="444500"/>
          <wp:effectExtent b="0" l="0" r="0" t="0"/>
          <wp:docPr id="2" name="image1.jpg"/>
          <a:graphic>
            <a:graphicData uri="http://schemas.openxmlformats.org/drawingml/2006/picture">
              <pic:pic>
                <pic:nvPicPr>
                  <pic:cNvPr id="0" name="image1.jpg"/>
                  <pic:cNvPicPr preferRelativeResize="0"/>
                </pic:nvPicPr>
                <pic:blipFill>
                  <a:blip r:embed="rId2"/>
                  <a:srcRect b="-660" l="-322" r="-320" t="-660"/>
                  <a:stretch>
                    <a:fillRect/>
                  </a:stretch>
                </pic:blipFill>
                <pic:spPr>
                  <a:xfrm>
                    <a:off x="0" y="0"/>
                    <a:ext cx="927735" cy="4445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080" w:hanging="360"/>
      </w:pPr>
      <w:rPr>
        <w:u w:val="none"/>
      </w:rPr>
    </w:lvl>
    <w:lvl w:ilvl="2">
      <w:start w:val="1"/>
      <w:numFmt w:val="bullet"/>
      <w:lvlText w:val="▪"/>
      <w:lvlJc w:val="left"/>
      <w:pPr>
        <w:ind w:left="1440" w:hanging="360"/>
      </w:pPr>
      <w:rPr>
        <w:u w:val="none"/>
      </w:rPr>
    </w:lvl>
    <w:lvl w:ilvl="3">
      <w:start w:val="1"/>
      <w:numFmt w:val="bullet"/>
      <w:lvlText w:val="●"/>
      <w:lvlJc w:val="left"/>
      <w:pPr>
        <w:ind w:left="1800" w:hanging="360"/>
      </w:pPr>
      <w:rPr>
        <w:u w:val="none"/>
      </w:rPr>
    </w:lvl>
    <w:lvl w:ilvl="4">
      <w:start w:val="1"/>
      <w:numFmt w:val="bullet"/>
      <w:lvlText w:val="◦"/>
      <w:lvlJc w:val="left"/>
      <w:pPr>
        <w:ind w:left="2160" w:hanging="360"/>
      </w:pPr>
      <w:rPr>
        <w:u w:val="none"/>
      </w:rPr>
    </w:lvl>
    <w:lvl w:ilvl="5">
      <w:start w:val="1"/>
      <w:numFmt w:val="bullet"/>
      <w:lvlText w:val="▪"/>
      <w:lvlJc w:val="left"/>
      <w:pPr>
        <w:ind w:left="2520" w:hanging="360"/>
      </w:pPr>
      <w:rPr>
        <w:u w:val="none"/>
      </w:rPr>
    </w:lvl>
    <w:lvl w:ilvl="6">
      <w:start w:val="1"/>
      <w:numFmt w:val="bullet"/>
      <w:lvlText w:val="●"/>
      <w:lvlJc w:val="left"/>
      <w:pPr>
        <w:ind w:left="2880" w:hanging="360"/>
      </w:pPr>
      <w:rPr>
        <w:u w:val="none"/>
      </w:rPr>
    </w:lvl>
    <w:lvl w:ilvl="7">
      <w:start w:val="1"/>
      <w:numFmt w:val="bullet"/>
      <w:lvlText w:val="◦"/>
      <w:lvlJc w:val="left"/>
      <w:pPr>
        <w:ind w:left="3240" w:hanging="360"/>
      </w:pPr>
      <w:rPr>
        <w:u w:val="none"/>
      </w:rPr>
    </w:lvl>
    <w:lvl w:ilvl="8">
      <w:start w:val="1"/>
      <w:numFmt w:val="bullet"/>
      <w:lvlText w:val="▪"/>
      <w:lvlJc w:val="left"/>
      <w:pPr>
        <w:ind w:left="36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2"/>
        <w:szCs w:val="22"/>
        <w:lang w:val="es-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Arial Narrow" w:cs="Arial Narrow" w:eastAsia="Arial Narrow" w:hAnsi="Arial Narrow"/>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Arial Narrow" w:cs="Arial Narrow" w:eastAsia="Arial Narrow" w:hAnsi="Arial Narrow"/>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Arial Narrow" w:cs="Arial Narrow" w:eastAsia="Arial Narrow" w:hAnsi="Arial Narrow"/>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Arial Narrow" w:cs="Arial Narrow" w:eastAsia="Arial Narrow" w:hAnsi="Arial Narrow"/>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Arial Narrow" w:cs="Arial Narrow" w:eastAsia="Arial Narrow" w:hAnsi="Arial Narrow"/>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